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D2" w:rsidRPr="001B4BD2" w:rsidRDefault="001B4BD2" w:rsidP="001B4BD2">
      <w:pPr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 w:rsidRPr="001B4BD2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Госпрограммы поддержки малого бизнеса — 2024</w:t>
      </w:r>
    </w:p>
    <w:p w:rsidR="001B4BD2" w:rsidRPr="001B4BD2" w:rsidRDefault="001B4BD2" w:rsidP="001B4BD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4"/>
          <w:szCs w:val="24"/>
          <w:lang w:eastAsia="ru-RU"/>
        </w:rPr>
        <w:t>6 февраля 2024</w:t>
      </w: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B4B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4BD2" w:rsidRPr="001B4BD2" w:rsidRDefault="001B4BD2" w:rsidP="001B4BD2">
      <w:pPr>
        <w:spacing w:after="360" w:line="240" w:lineRule="auto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  <w:r w:rsidRPr="001B4BD2">
        <w:rPr>
          <w:rFonts w:ascii="Times New Roman" w:eastAsia="Times New Roman" w:hAnsi="Times New Roman" w:cs="Times New Roman"/>
          <w:sz w:val="33"/>
          <w:szCs w:val="33"/>
          <w:lang w:eastAsia="ru-RU"/>
        </w:rPr>
        <w:t>Часть госпрограмм, которые были приняты до введения санкций, продолжают действовать. Но помимо них вводятся дополнительные меры для развития бизнеса в кризисных условиях.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 сегодняшний день государство предлагает широкий спектр мер </w:t>
      </w:r>
      <w:proofErr w:type="gramStart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поддержки</w:t>
      </w:r>
      <w:proofErr w:type="gramEnd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 для начинающих предпринимателей, так и для уже работающих бизнесов. Эти меры становятся частью общей концепции развития бизнеса.</w:t>
      </w:r>
    </w:p>
    <w:p w:rsidR="001B4BD2" w:rsidRPr="001B4BD2" w:rsidRDefault="001B4BD2" w:rsidP="001B4BD2">
      <w:pPr>
        <w:numPr>
          <w:ilvl w:val="0"/>
          <w:numId w:val="1"/>
        </w:numPr>
        <w:spacing w:before="100" w:beforeAutospacing="1" w:after="133" w:line="348" w:lineRule="atLeast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5" w:anchor="header_25703_1" w:history="1"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Проекты по поддержке бизнеса от Банка России</w:t>
        </w:r>
      </w:hyperlink>
    </w:p>
    <w:p w:rsidR="001B4BD2" w:rsidRPr="001B4BD2" w:rsidRDefault="001B4BD2" w:rsidP="001B4BD2">
      <w:pPr>
        <w:numPr>
          <w:ilvl w:val="0"/>
          <w:numId w:val="1"/>
        </w:numPr>
        <w:spacing w:before="100" w:beforeAutospacing="1" w:after="133" w:line="348" w:lineRule="atLeast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6" w:anchor="header_25703_2" w:history="1"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Цифровая платформа МСП как экосистема поддержки бизнеса</w:t>
        </w:r>
      </w:hyperlink>
    </w:p>
    <w:p w:rsidR="001B4BD2" w:rsidRPr="001B4BD2" w:rsidRDefault="001B4BD2" w:rsidP="001B4BD2">
      <w:pPr>
        <w:numPr>
          <w:ilvl w:val="0"/>
          <w:numId w:val="1"/>
        </w:numPr>
        <w:spacing w:before="100" w:beforeAutospacing="1" w:after="133" w:line="348" w:lineRule="atLeast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7" w:anchor="header_25703_3" w:history="1"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Социальный контракт на открытие бизнеса</w:t>
        </w:r>
      </w:hyperlink>
    </w:p>
    <w:p w:rsidR="001B4BD2" w:rsidRPr="001B4BD2" w:rsidRDefault="001B4BD2" w:rsidP="001B4BD2">
      <w:pPr>
        <w:numPr>
          <w:ilvl w:val="0"/>
          <w:numId w:val="1"/>
        </w:numPr>
        <w:spacing w:before="100" w:beforeAutospacing="1" w:after="133" w:line="348" w:lineRule="atLeast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8" w:anchor="header_25703_5" w:history="1">
        <w:proofErr w:type="spellStart"/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Грантовая</w:t>
        </w:r>
        <w:proofErr w:type="spellEnd"/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поддержка</w:t>
        </w:r>
      </w:hyperlink>
    </w:p>
    <w:p w:rsidR="001B4BD2" w:rsidRPr="001B4BD2" w:rsidRDefault="001B4BD2" w:rsidP="001B4BD2">
      <w:pPr>
        <w:numPr>
          <w:ilvl w:val="0"/>
          <w:numId w:val="1"/>
        </w:numPr>
        <w:spacing w:before="100" w:beforeAutospacing="1" w:after="133" w:line="348" w:lineRule="atLeast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9" w:anchor="header_25703_6" w:history="1"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Какие программы господдержки действуют в 2024 году</w:t>
        </w:r>
      </w:hyperlink>
    </w:p>
    <w:p w:rsidR="001B4BD2" w:rsidRPr="001B4BD2" w:rsidRDefault="001B4BD2" w:rsidP="001B4BD2">
      <w:pPr>
        <w:numPr>
          <w:ilvl w:val="0"/>
          <w:numId w:val="1"/>
        </w:numPr>
        <w:spacing w:before="100" w:beforeAutospacing="1" w:after="133" w:line="348" w:lineRule="atLeast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0" w:anchor="header_25703_8" w:history="1"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Поддержка малого </w:t>
        </w:r>
        <w:proofErr w:type="spellStart"/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агробизнеса</w:t>
        </w:r>
        <w:proofErr w:type="spellEnd"/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в 2024 году</w:t>
        </w:r>
      </w:hyperlink>
    </w:p>
    <w:p w:rsidR="001B4BD2" w:rsidRPr="001B4BD2" w:rsidRDefault="001B4BD2" w:rsidP="001B4BD2">
      <w:pPr>
        <w:numPr>
          <w:ilvl w:val="0"/>
          <w:numId w:val="1"/>
        </w:numPr>
        <w:spacing w:before="100" w:beforeAutospacing="1" w:after="133" w:line="348" w:lineRule="atLeast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1" w:anchor="header_25703_9" w:history="1"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Федеральные программы поддержки бизнеса</w:t>
        </w:r>
      </w:hyperlink>
    </w:p>
    <w:p w:rsidR="001B4BD2" w:rsidRPr="001B4BD2" w:rsidRDefault="001B4BD2" w:rsidP="001B4BD2">
      <w:pPr>
        <w:numPr>
          <w:ilvl w:val="0"/>
          <w:numId w:val="1"/>
        </w:numPr>
        <w:spacing w:before="100" w:beforeAutospacing="1" w:after="133" w:line="348" w:lineRule="atLeast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2" w:anchor="7" w:history="1"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Региональные программы поддержки</w:t>
        </w:r>
      </w:hyperlink>
    </w:p>
    <w:p w:rsidR="001B4BD2" w:rsidRPr="001B4BD2" w:rsidRDefault="001B4BD2" w:rsidP="001B4BD2">
      <w:pPr>
        <w:numPr>
          <w:ilvl w:val="0"/>
          <w:numId w:val="1"/>
        </w:numPr>
        <w:spacing w:before="100" w:beforeAutospacing="1" w:after="0" w:line="348" w:lineRule="atLeast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3" w:anchor="8" w:history="1"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Поддержка </w:t>
        </w:r>
        <w:proofErr w:type="spellStart"/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самозанятых</w:t>
        </w:r>
        <w:proofErr w:type="spellEnd"/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в 2024 году</w:t>
        </w:r>
      </w:hyperlink>
    </w:p>
    <w:p w:rsidR="001B4BD2" w:rsidRPr="001B4BD2" w:rsidRDefault="001B4BD2" w:rsidP="001B4BD2">
      <w:pPr>
        <w:spacing w:before="1440" w:after="480" w:line="240" w:lineRule="auto"/>
        <w:outlineLvl w:val="1"/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</w:pPr>
      <w:r w:rsidRPr="001B4BD2"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  <w:t>Проекты по поддержке бизнеса от Банка России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В 2024 году Банк России продолжит следовать </w:t>
      </w:r>
      <w:hyperlink r:id="rId14" w:tgtFrame="_blank" w:history="1"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Дорожной карте поддержки малого и среднего бизнеса</w:t>
        </w:r>
      </w:hyperlink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основная </w:t>
      </w:r>
      <w:proofErr w:type="gramStart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</w:t>
      </w:r>
      <w:proofErr w:type="gramEnd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 которой — сделать более доступными кредиты. Но есть и другие </w:t>
      </w:r>
      <w:hyperlink r:id="rId15" w:tgtFrame="_blank" w:history="1"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меры поддержки</w:t>
        </w:r>
      </w:hyperlink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которые предусмотрены на 2024 год:</w:t>
      </w:r>
    </w:p>
    <w:p w:rsidR="001B4BD2" w:rsidRPr="001B4BD2" w:rsidRDefault="001B4BD2" w:rsidP="001B4BD2">
      <w:pPr>
        <w:numPr>
          <w:ilvl w:val="0"/>
          <w:numId w:val="2"/>
        </w:numPr>
        <w:spacing w:before="100" w:beforeAutospacing="1" w:after="133" w:line="348" w:lineRule="atLeast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распространение льготных программ на факторинг;</w:t>
      </w:r>
    </w:p>
    <w:p w:rsidR="001B4BD2" w:rsidRPr="001B4BD2" w:rsidRDefault="001B4BD2" w:rsidP="001B4BD2">
      <w:pPr>
        <w:numPr>
          <w:ilvl w:val="0"/>
          <w:numId w:val="2"/>
        </w:numPr>
        <w:spacing w:before="100" w:beforeAutospacing="1" w:after="133" w:line="348" w:lineRule="atLeast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расширение возможностей бизнеса по использованию небанковских источников финансирования;</w:t>
      </w:r>
    </w:p>
    <w:p w:rsidR="001B4BD2" w:rsidRPr="001B4BD2" w:rsidRDefault="001B4BD2" w:rsidP="001B4BD2">
      <w:pPr>
        <w:numPr>
          <w:ilvl w:val="0"/>
          <w:numId w:val="2"/>
        </w:numPr>
        <w:spacing w:before="100" w:beforeAutospacing="1" w:after="133" w:line="348" w:lineRule="atLeast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предоставление малому и среднему бизнесу доступа к сервису «</w:t>
      </w:r>
      <w:hyperlink r:id="rId16" w:tgtFrame="_blank" w:history="1"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Знай своего клиента</w:t>
        </w:r>
      </w:hyperlink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» для проверки контрагентов;</w:t>
      </w:r>
    </w:p>
    <w:p w:rsidR="001B4BD2" w:rsidRPr="001B4BD2" w:rsidRDefault="001B4BD2" w:rsidP="001B4BD2">
      <w:pPr>
        <w:numPr>
          <w:ilvl w:val="0"/>
          <w:numId w:val="2"/>
        </w:numPr>
        <w:spacing w:before="100" w:beforeAutospacing="1" w:after="0" w:line="348" w:lineRule="atLeast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снижение транзакционных издержек благодаря приему оплаты через </w:t>
      </w:r>
      <w:hyperlink r:id="rId17" w:tgtFrame="_blank" w:history="1"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Систему быстрых платежей</w:t>
        </w:r>
      </w:hyperlink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B4BD2" w:rsidRPr="001B4BD2" w:rsidRDefault="001B4BD2" w:rsidP="001B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B4B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journal" style="width:48pt;height:48pt"/>
        </w:pict>
      </w:r>
    </w:p>
    <w:p w:rsidR="001B4BD2" w:rsidRPr="001B4BD2" w:rsidRDefault="001B4BD2" w:rsidP="001B4BD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1B4BD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Оформите ИП бесплатно без визита в </w:t>
      </w:r>
      <w:proofErr w:type="gramStart"/>
      <w:r w:rsidRPr="001B4BD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налоговую</w:t>
      </w:r>
      <w:proofErr w:type="gramEnd"/>
      <w:r w:rsidRPr="001B4BD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через сервис регистрации бизнеса в Контуре и получите год обслуживания в </w:t>
      </w:r>
      <w:proofErr w:type="spellStart"/>
      <w:r w:rsidRPr="001B4BD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онлайн-бухгалтерии</w:t>
      </w:r>
      <w:proofErr w:type="spellEnd"/>
      <w:r w:rsidRPr="001B4BD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Эльба в качестве бонуса</w:t>
      </w:r>
    </w:p>
    <w:p w:rsidR="001B4BD2" w:rsidRPr="001B4BD2" w:rsidRDefault="001B4BD2" w:rsidP="001B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hyperlink r:id="rId18" w:history="1">
        <w:r w:rsidRPr="001B4BD2">
          <w:rPr>
            <w:rFonts w:ascii="Times New Roman" w:eastAsia="Times New Roman" w:hAnsi="Times New Roman" w:cs="Times New Roman"/>
            <w:b/>
            <w:bCs/>
            <w:color w:val="0000FF"/>
            <w:sz w:val="30"/>
            <w:u w:val="single"/>
            <w:lang w:eastAsia="ru-RU"/>
          </w:rPr>
          <w:t>Зарегистрировать ИП</w:t>
        </w:r>
      </w:hyperlink>
    </w:p>
    <w:p w:rsidR="001B4BD2" w:rsidRPr="001B4BD2" w:rsidRDefault="001B4BD2" w:rsidP="001B4BD2">
      <w:pPr>
        <w:spacing w:before="1440" w:after="480" w:line="240" w:lineRule="auto"/>
        <w:outlineLvl w:val="1"/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</w:pPr>
      <w:r w:rsidRPr="001B4BD2"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  <w:t>Цифровая платформа МСП как экосистема поддержки бизнеса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Основным источником получения информации о мерах поддержки на сегодняшний день является </w:t>
      </w:r>
      <w:hyperlink r:id="rId19" w:anchor="services" w:tgtFrame="_blank" w:history="1"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Цифровая платформа МСП</w:t>
        </w:r>
      </w:hyperlink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. По сути это система персонального подбора услуг, которые можно оформлять дистанционно.  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20" w:tgtFrame="_blank" w:history="1"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Постановление Правительства РФ от 21.12.2021 №2371</w:t>
        </w:r>
      </w:hyperlink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 утвердило сроки запуска эксперимента по оказанию поддержки на базе цифровой платформы МСП. Он стартовал 1 февраля 2022 года и продлится до 1 февраля 2031 года.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Поддержка затрагивает:</w:t>
      </w:r>
    </w:p>
    <w:p w:rsidR="001B4BD2" w:rsidRPr="001B4BD2" w:rsidRDefault="001B4BD2" w:rsidP="001B4BD2">
      <w:pPr>
        <w:numPr>
          <w:ilvl w:val="0"/>
          <w:numId w:val="3"/>
        </w:numPr>
        <w:spacing w:before="100" w:beforeAutospacing="1" w:after="133" w:line="348" w:lineRule="atLeast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малый и средний бизнес;</w:t>
      </w:r>
    </w:p>
    <w:p w:rsidR="001B4BD2" w:rsidRPr="001B4BD2" w:rsidRDefault="001B4BD2" w:rsidP="001B4BD2">
      <w:pPr>
        <w:numPr>
          <w:ilvl w:val="0"/>
          <w:numId w:val="3"/>
        </w:numPr>
        <w:spacing w:before="100" w:beforeAutospacing="1" w:after="133" w:line="348" w:lineRule="atLeast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самозанятых</w:t>
      </w:r>
      <w:proofErr w:type="spellEnd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B4BD2" w:rsidRPr="001B4BD2" w:rsidRDefault="001B4BD2" w:rsidP="001B4BD2">
      <w:pPr>
        <w:numPr>
          <w:ilvl w:val="0"/>
          <w:numId w:val="3"/>
        </w:numPr>
        <w:spacing w:before="100" w:beforeAutospacing="1" w:after="0" w:line="348" w:lineRule="atLeast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граждан, которые только собираются начать свое дело.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Предполагается, что новый подход максимально упростит открытие, ведение и развитие бизнеса. К платформе подключатся федеральные министерства и ведомства, институты развития, банки и страховые организации. Все они </w:t>
      </w: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будут обмениваться нужной информацией через систему межведомственного электронного взаимодействия.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 новшества — объединить все сервисы для МСП и позволить предпринимателям выбирать и получать необходимые меры поддержки дистанционно. Цифровая платформа обеспечивает адресный подбор и </w:t>
      </w:r>
      <w:proofErr w:type="spellStart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проактивное</w:t>
      </w:r>
      <w:proofErr w:type="spellEnd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одобрение мер поддержки, а также предоставление услуг, которые требуются на разных этапах развития бизнеса, без личного присутствия предпринимателей. В 2024 году на платформе доступны более 30 различных </w:t>
      </w:r>
      <w:proofErr w:type="spellStart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онлайн-сервисов</w:t>
      </w:r>
      <w:proofErr w:type="spellEnd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 сотни мер поддержки.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У каждого пользователя платформы формируется свой цифровой профиль. Благодаря этому федеральные и региональные инструменты поддержки и сервисы предлагаются участникам с учетом потребностей и стадии развития бизнеса.</w:t>
      </w:r>
    </w:p>
    <w:p w:rsidR="001B4BD2" w:rsidRPr="001B4BD2" w:rsidRDefault="001B4BD2" w:rsidP="001B4BD2">
      <w:pPr>
        <w:spacing w:before="1440" w:after="480" w:line="240" w:lineRule="auto"/>
        <w:outlineLvl w:val="1"/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</w:pPr>
      <w:r w:rsidRPr="001B4BD2"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  <w:t>Социальный контракт на открытие бизнеса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 тех, кто планирует открыть свое дело и вести личное подсобное хозяйство, предусмотрены единовременные выплаты по социальному контракту (</w:t>
      </w:r>
      <w:hyperlink r:id="rId21" w:tgtFrame="_blank" w:history="1"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Постановление Правительства от 29.06.2022 № 1160</w:t>
        </w:r>
      </w:hyperlink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). В 2024 году максимальная выплата для ИП составляет 350 000 руб., а для граждан, ведущих личное подсобное хозяйство, — 200 000 руб.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Узнайте, </w:t>
      </w:r>
      <w:hyperlink r:id="rId22" w:tgtFrame="_blank" w:history="1"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как оформить социальный контракт</w:t>
        </w:r>
      </w:hyperlink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 и получить деньги на открытие бизнеса в 2024 году.</w:t>
      </w:r>
    </w:p>
    <w:p w:rsidR="001B4BD2" w:rsidRPr="001B4BD2" w:rsidRDefault="001B4BD2" w:rsidP="001B4BD2">
      <w:pPr>
        <w:spacing w:before="1440" w:after="480" w:line="240" w:lineRule="auto"/>
        <w:outlineLvl w:val="1"/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</w:pPr>
      <w:proofErr w:type="spellStart"/>
      <w:r w:rsidRPr="001B4BD2"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  <w:t>Грантовая</w:t>
      </w:r>
      <w:proofErr w:type="spellEnd"/>
      <w:r w:rsidRPr="001B4BD2"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  <w:t xml:space="preserve"> поддержка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Такую меру господдержки обычно оказывают региональные власти. </w:t>
      </w:r>
      <w:proofErr w:type="gramStart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Грант предоставляется как начинающему, так и опытному предпринимателю в форме </w:t>
      </w:r>
      <w:proofErr w:type="spellStart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софинансирования</w:t>
      </w:r>
      <w:proofErr w:type="spellEnd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 на безвозвратной и безвозмездной основах.</w:t>
      </w:r>
      <w:proofErr w:type="gramEnd"/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Но в зависимости от региона условия получения грантов могут отличаться. Поэтому все детали лучше узнавать на местах. Деньги выделяются тем, чьи заявки прошли конкурсный отбор. В числе критериев отбора — сфера деятельности бизнеса, размер выручки, количество рабочих мест и др.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Ближайший год однозначно будут поддерживать такие направления, как IT, АПК, туризм.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 узнать подробности получения грантов и субсидий, заходите на официальные государственные сайты, которые предоставляют информацию о мерах поддержки бизнеса. Так, например, на сайте Министерства экономики Республики Татарстан подробно расписаны все направления </w:t>
      </w:r>
      <w:hyperlink r:id="rId23" w:tgtFrame="_blank" w:history="1"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государственной поддержки</w:t>
        </w:r>
      </w:hyperlink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. По Подмосковью такую информацию дает сайт </w:t>
      </w:r>
      <w:hyperlink r:id="rId24" w:tgtFrame="_blank" w:history="1"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Центра Развития Предпринимательства Московской Области</w:t>
        </w:r>
      </w:hyperlink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. На сайте «</w:t>
      </w:r>
      <w:hyperlink r:id="rId25" w:tgtFrame="_blank" w:history="1"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Малый бизнес Кубани</w:t>
        </w:r>
      </w:hyperlink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» приводится подробный список субсидий для предпринимателей, работающих на юге России.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Проще воспользоваться поиском в разделе «</w:t>
      </w:r>
      <w:hyperlink r:id="rId26" w:tgtFrame="_blank" w:history="1"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Центры инфраструктуры МСП в вашем регионе</w:t>
        </w:r>
      </w:hyperlink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» на сайте «Мой бизнес». Просто укажите на карте регион — и система выдаст информацию о местных отделениях, в том числе сайт, на котором можно найти всю информацию по поддержке.</w:t>
      </w:r>
    </w:p>
    <w:p w:rsidR="001B4BD2" w:rsidRPr="001B4BD2" w:rsidRDefault="001B4BD2" w:rsidP="001B4BD2">
      <w:pPr>
        <w:spacing w:before="720" w:after="360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1B4BD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Гранты для молодых предпринимателей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Эта поддержка распространяется на все субъекты МСП, зарегистрированные лицами в возрасте от 14 до 25 лет. Минимальная сумма гранта — 100 000 руб., максимальная — 500 000 руб. Грант в размере до 1 </w:t>
      </w:r>
      <w:proofErr w:type="spellStart"/>
      <w:proofErr w:type="gramStart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млн</w:t>
      </w:r>
      <w:proofErr w:type="spellEnd"/>
      <w:proofErr w:type="gramEnd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предусмотрен для Арктической зоны: Мурманская и Архангельская области, Ненецкий и Ямало-Ненецкий АО, Чукотка, Карелия, Коми, Якутия, Красноярский край.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Деньги можно использовать на компенсацию аренды и ремонта нежилого помещения, приобретение необходимых стройматериалов и оборудования, оплату коммуналки и услуг электроснабжения и др. Ознакомиться с </w:t>
      </w:r>
      <w:hyperlink r:id="rId27" w:tgtFrame="_blank" w:history="1"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условиями программы</w:t>
        </w:r>
      </w:hyperlink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B4BD2" w:rsidRPr="001B4BD2" w:rsidRDefault="001B4BD2" w:rsidP="001B4BD2">
      <w:pPr>
        <w:spacing w:before="720" w:after="360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1B4BD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Гранты для социального бизнеса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В 2024 году государство продолжит выдавать гранты до 500 000 руб. социальным предприятиям. Для регионов Арктической зоны сумма поддержки выше — до 1 </w:t>
      </w:r>
      <w:proofErr w:type="spellStart"/>
      <w:proofErr w:type="gramStart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млн</w:t>
      </w:r>
      <w:proofErr w:type="spellEnd"/>
      <w:proofErr w:type="gramEnd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На что можно потратить деньги:</w:t>
      </w:r>
    </w:p>
    <w:p w:rsidR="001B4BD2" w:rsidRPr="001B4BD2" w:rsidRDefault="001B4BD2" w:rsidP="001B4BD2">
      <w:pPr>
        <w:numPr>
          <w:ilvl w:val="0"/>
          <w:numId w:val="4"/>
        </w:numPr>
        <w:spacing w:before="100" w:beforeAutospacing="1" w:after="133" w:line="348" w:lineRule="atLeast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аренда и ремонт помещения;</w:t>
      </w:r>
    </w:p>
    <w:p w:rsidR="001B4BD2" w:rsidRPr="001B4BD2" w:rsidRDefault="001B4BD2" w:rsidP="001B4BD2">
      <w:pPr>
        <w:numPr>
          <w:ilvl w:val="0"/>
          <w:numId w:val="4"/>
        </w:numPr>
        <w:spacing w:before="100" w:beforeAutospacing="1" w:after="133" w:line="348" w:lineRule="atLeast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лизинговые платежи;</w:t>
      </w:r>
    </w:p>
    <w:p w:rsidR="001B4BD2" w:rsidRPr="001B4BD2" w:rsidRDefault="001B4BD2" w:rsidP="001B4BD2">
      <w:pPr>
        <w:numPr>
          <w:ilvl w:val="0"/>
          <w:numId w:val="4"/>
        </w:numPr>
        <w:spacing w:before="100" w:beforeAutospacing="1" w:after="133" w:line="348" w:lineRule="atLeast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оплата коммунальных услуг;</w:t>
      </w:r>
    </w:p>
    <w:p w:rsidR="001B4BD2" w:rsidRPr="001B4BD2" w:rsidRDefault="001B4BD2" w:rsidP="001B4BD2">
      <w:pPr>
        <w:numPr>
          <w:ilvl w:val="0"/>
          <w:numId w:val="4"/>
        </w:numPr>
        <w:spacing w:before="100" w:beforeAutospacing="1" w:after="133" w:line="348" w:lineRule="atLeast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приобретение оргтехники и оборудования;</w:t>
      </w:r>
    </w:p>
    <w:p w:rsidR="001B4BD2" w:rsidRPr="001B4BD2" w:rsidRDefault="001B4BD2" w:rsidP="001B4BD2">
      <w:pPr>
        <w:numPr>
          <w:ilvl w:val="0"/>
          <w:numId w:val="4"/>
        </w:numPr>
        <w:spacing w:before="100" w:beforeAutospacing="1" w:after="133" w:line="348" w:lineRule="atLeast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покупка сырья, </w:t>
      </w:r>
      <w:proofErr w:type="gramStart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proofErr w:type="gramEnd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комплектующих для </w:t>
      </w:r>
      <w:proofErr w:type="spellStart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медтехники</w:t>
      </w:r>
      <w:proofErr w:type="spellEnd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 протезно-ортопедических изделий;</w:t>
      </w:r>
    </w:p>
    <w:p w:rsidR="001B4BD2" w:rsidRPr="001B4BD2" w:rsidRDefault="001B4BD2" w:rsidP="001B4BD2">
      <w:pPr>
        <w:numPr>
          <w:ilvl w:val="0"/>
          <w:numId w:val="4"/>
        </w:numPr>
        <w:spacing w:before="100" w:beforeAutospacing="1" w:after="0" w:line="348" w:lineRule="atLeast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переоборудование транспортных сре</w:t>
      </w:r>
      <w:proofErr w:type="gramStart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дств дл</w:t>
      </w:r>
      <w:proofErr w:type="gramEnd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 перевозки </w:t>
      </w:r>
      <w:proofErr w:type="spellStart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маломобильных</w:t>
      </w:r>
      <w:proofErr w:type="spellEnd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групп населения, в том числе инвалидов.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За подробной информацией стоит обращаться в региональные отделения Центра «</w:t>
      </w:r>
      <w:hyperlink r:id="rId28" w:tgtFrame="_blank" w:history="1"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Мой бизнес</w:t>
        </w:r>
      </w:hyperlink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либо узнать подробности через личный кабинет на цифровой платформе </w:t>
      </w:r>
      <w:proofErr w:type="spellStart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МСП.рф</w:t>
      </w:r>
      <w:proofErr w:type="spellEnd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B4BD2" w:rsidRPr="001B4BD2" w:rsidRDefault="001B4BD2" w:rsidP="001B4BD2">
      <w:pPr>
        <w:spacing w:before="720" w:after="360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1B4BD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Субсидии для туристического бизнеса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На сайте Федерального агентства по туризму есть специальный </w:t>
      </w:r>
      <w:hyperlink r:id="rId29" w:tgtFrame="_blank" w:history="1"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раздел</w:t>
        </w:r>
      </w:hyperlink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, в котором обозначены все меры поддержки туристического бизнеса.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Ранее Минэкономразвития объявило о предоставлении единой субсидии в рамках национального проекта «Туризм и индустрия гостеприимства». Ее получили 85 регионов, общая сумма субсидии составила 6,2 </w:t>
      </w:r>
      <w:proofErr w:type="spellStart"/>
      <w:proofErr w:type="gramStart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млрд</w:t>
      </w:r>
      <w:proofErr w:type="spellEnd"/>
      <w:proofErr w:type="gramEnd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Особенно на поддержку могут рассчитывать предприниматели из Краснодарского и Ставропольского края, Московской, Свердловской и Челябинской области. В этих регионах ожидается </w:t>
      </w:r>
      <w:proofErr w:type="gramStart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высокий</w:t>
      </w:r>
      <w:proofErr w:type="gramEnd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турпоток</w:t>
      </w:r>
      <w:proofErr w:type="spellEnd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 2024 году, кроме того, они обладают национальными туристическими маршрутами. Также субсидию планируется предоставлять предпринимателям из новых регионов — ДНР, ЛНР, Запорожской и Херсонской области.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Среди лидеров по объему единой субсидии оказались Нижегородская область, Республика Башкортостан, Республика Карелия, Красноярский край, Республика Крым, Приморский край, Республика Татарстан, Самарская, Ярославская и Ленинградская области.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 важно знать:</w:t>
      </w:r>
    </w:p>
    <w:p w:rsidR="001B4BD2" w:rsidRPr="001B4BD2" w:rsidRDefault="001B4BD2" w:rsidP="001B4BD2">
      <w:pPr>
        <w:numPr>
          <w:ilvl w:val="0"/>
          <w:numId w:val="5"/>
        </w:numPr>
        <w:spacing w:before="100" w:beforeAutospacing="1" w:after="133" w:line="348" w:lineRule="atLeast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Регионы по своему усмотрению выбирают приоритетные направления, которые направлены на увеличение количества </w:t>
      </w:r>
      <w:proofErr w:type="spellStart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турпоездок</w:t>
      </w:r>
      <w:proofErr w:type="spellEnd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B4BD2" w:rsidRPr="001B4BD2" w:rsidRDefault="001B4BD2" w:rsidP="001B4BD2">
      <w:pPr>
        <w:numPr>
          <w:ilvl w:val="0"/>
          <w:numId w:val="5"/>
        </w:numPr>
        <w:spacing w:before="100" w:beforeAutospacing="1" w:after="133" w:line="348" w:lineRule="atLeast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Единая субсидия можно тратить на обустройство пляжей и национальных туристических маршрутов, покупку соответствующего оборудования и снаряжения, проведение мероприятий и проектирование туристического кода центров городов.</w:t>
      </w:r>
    </w:p>
    <w:p w:rsidR="001B4BD2" w:rsidRPr="001B4BD2" w:rsidRDefault="001B4BD2" w:rsidP="001B4BD2">
      <w:pPr>
        <w:numPr>
          <w:ilvl w:val="0"/>
          <w:numId w:val="5"/>
        </w:numPr>
        <w:spacing w:before="100" w:beforeAutospacing="1" w:after="0" w:line="348" w:lineRule="atLeast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 рамках единой субсидии можно создавать кемпинги и </w:t>
      </w:r>
      <w:proofErr w:type="spellStart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автокемпинги</w:t>
      </w:r>
      <w:proofErr w:type="spellEnd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, возводить некапитальные причальные сооружения.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Деньги выделят тем, кто:</w:t>
      </w:r>
    </w:p>
    <w:p w:rsidR="001B4BD2" w:rsidRPr="001B4BD2" w:rsidRDefault="001B4BD2" w:rsidP="001B4BD2">
      <w:pPr>
        <w:numPr>
          <w:ilvl w:val="0"/>
          <w:numId w:val="6"/>
        </w:numPr>
        <w:spacing w:before="100" w:beforeAutospacing="1" w:after="133" w:line="348" w:lineRule="atLeast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планирует создавать и развивать пляжи на берегах морей, рек и озер, а также развивает национальные туристические маршруты;</w:t>
      </w:r>
    </w:p>
    <w:p w:rsidR="001B4BD2" w:rsidRPr="001B4BD2" w:rsidRDefault="001B4BD2" w:rsidP="001B4BD2">
      <w:pPr>
        <w:numPr>
          <w:ilvl w:val="0"/>
          <w:numId w:val="6"/>
        </w:numPr>
        <w:spacing w:before="100" w:beforeAutospacing="1" w:after="133" w:line="348" w:lineRule="atLeast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создает кемпинги и </w:t>
      </w:r>
      <w:proofErr w:type="spellStart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автокемпинги</w:t>
      </w:r>
      <w:proofErr w:type="spellEnd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B4BD2" w:rsidRPr="001B4BD2" w:rsidRDefault="001B4BD2" w:rsidP="001B4BD2">
      <w:pPr>
        <w:numPr>
          <w:ilvl w:val="0"/>
          <w:numId w:val="6"/>
        </w:numPr>
        <w:spacing w:before="100" w:beforeAutospacing="1" w:after="0" w:line="348" w:lineRule="atLeast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приобретает туристическое оборудование, создает электронные путеводители, развивает </w:t>
      </w:r>
      <w:proofErr w:type="spellStart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турсреду</w:t>
      </w:r>
      <w:proofErr w:type="spellEnd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 людей с ограниченными возможностями, приобретает оборудование для </w:t>
      </w:r>
      <w:proofErr w:type="spellStart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инфоцентров</w:t>
      </w:r>
      <w:proofErr w:type="spellEnd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 пунктов проката, разрабатывает новые маршруты, включая маркировку, навигацию, организацию зон отдыха и др.</w:t>
      </w:r>
    </w:p>
    <w:p w:rsidR="001B4BD2" w:rsidRPr="001B4BD2" w:rsidRDefault="001B4BD2" w:rsidP="001B4BD2">
      <w:pPr>
        <w:spacing w:before="1440" w:after="480" w:line="240" w:lineRule="auto"/>
        <w:outlineLvl w:val="1"/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</w:pPr>
      <w:r w:rsidRPr="001B4BD2"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  <w:t>Какие программы господдержки действуют в 2024 году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В этом году государство планирует сделать более доступным российское ПО, усовершенствовать процесс получения заёмных средств, поддержать импорт, а также IT, турбизнес.</w:t>
      </w:r>
    </w:p>
    <w:p w:rsidR="001B4BD2" w:rsidRPr="001B4BD2" w:rsidRDefault="001B4BD2" w:rsidP="001B4BD2">
      <w:pPr>
        <w:spacing w:before="720" w:after="360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1B4BD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Поддержка импорта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Минэкономразвития еще в 2022 году выпустило Навигатор по мерам поддержки импорта в связи с </w:t>
      </w:r>
      <w:proofErr w:type="spellStart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санкционным</w:t>
      </w:r>
      <w:proofErr w:type="spellEnd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давлением (</w:t>
      </w:r>
      <w:hyperlink r:id="rId30" w:tgtFrame="_blank" w:history="1"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Письмо Минэкономразвития РФ от 22.09.2022 № 35970-ДВ/Д12И</w:t>
        </w:r>
      </w:hyperlink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), но некоторые меры действуют бессрочно. Например, приоритетное таможенное оформление товаров народного потребления, включая продукты питания и медикаменты, оборудование, комплектующие и запасные части; </w:t>
      </w:r>
      <w:proofErr w:type="spellStart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непривлечение</w:t>
      </w:r>
      <w:proofErr w:type="spellEnd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участников ВЭД к ответственности за нарушение условий временного ввоза.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31" w:tgtFrame="_blank" w:history="1"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Полный список мер поддержки импорта</w:t>
        </w:r>
      </w:hyperlink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Минпромторг</w:t>
      </w:r>
      <w:proofErr w:type="spellEnd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запустил </w:t>
      </w:r>
      <w:hyperlink r:id="rId32" w:tgtFrame="_blank" w:history="1"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сервис </w:t>
        </w:r>
        <w:proofErr w:type="spellStart"/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импортозамещения</w:t>
        </w:r>
        <w:proofErr w:type="spellEnd"/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2.0</w:t>
        </w:r>
      </w:hyperlink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. Также действуют меры поддержки по </w:t>
      </w:r>
      <w:hyperlink r:id="rId33" w:tgtFrame="_blank" w:history="1"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параллельному импорту</w:t>
        </w:r>
      </w:hyperlink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hyperlink r:id="rId34" w:tgtFrame="_blank" w:history="1"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льготные кредиты на приобретение приоритетной для импорта продукции</w:t>
        </w:r>
      </w:hyperlink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 и др. Остальные можно посмотреть </w:t>
      </w:r>
      <w:hyperlink r:id="rId35" w:tgtFrame="_blank" w:history="1"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на сайте</w:t>
        </w:r>
      </w:hyperlink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 министерства.</w:t>
      </w:r>
    </w:p>
    <w:p w:rsidR="001B4BD2" w:rsidRPr="001B4BD2" w:rsidRDefault="001B4BD2" w:rsidP="001B4BD2">
      <w:pPr>
        <w:spacing w:before="720" w:after="360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1B4BD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lastRenderedPageBreak/>
        <w:t>Поддержка IT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Поскольку в условиях </w:t>
      </w:r>
      <w:proofErr w:type="spellStart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санкционных</w:t>
      </w:r>
      <w:proofErr w:type="spellEnd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ограничений растет интерес к отечественным разработкам и государство заинтересовано в удержании грамотных специалистов, то для IT-сферы подготовили комплексные меры. Они направлены как на сокращение финансового бремени компаний, так и на создание комфортных условий для работы.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 </w:t>
      </w:r>
      <w:hyperlink r:id="rId36" w:tgtFrame="_blank" w:history="1"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мер</w:t>
        </w:r>
      </w:hyperlink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представлено на сайте </w:t>
      </w:r>
      <w:proofErr w:type="spellStart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Минцифры</w:t>
      </w:r>
      <w:proofErr w:type="spellEnd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Кроме того, IT-компании могут рассчитывать </w:t>
      </w:r>
      <w:proofErr w:type="gramStart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proofErr w:type="gramEnd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1B4BD2" w:rsidRPr="001B4BD2" w:rsidRDefault="001B4BD2" w:rsidP="001B4BD2">
      <w:pPr>
        <w:numPr>
          <w:ilvl w:val="0"/>
          <w:numId w:val="7"/>
        </w:numPr>
        <w:spacing w:before="100" w:beforeAutospacing="1" w:after="133" w:line="348" w:lineRule="atLeast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Налоговые льготы. До конца 2024 года ставка налога на прибыль будет нулевой (</w:t>
      </w:r>
      <w:hyperlink r:id="rId37" w:tgtFrame="_blank" w:history="1"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Указ Президента РФ от 02.03.2022 № 83</w:t>
        </w:r>
      </w:hyperlink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1B4BD2" w:rsidRPr="001B4BD2" w:rsidRDefault="001B4BD2" w:rsidP="001B4BD2">
      <w:pPr>
        <w:numPr>
          <w:ilvl w:val="0"/>
          <w:numId w:val="7"/>
        </w:numPr>
        <w:spacing w:before="100" w:beforeAutospacing="1" w:after="133" w:line="348" w:lineRule="atLeast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До 3 марта 2025 года приостановлены внеплановые и плановые проверки для аккредитованных IT-компаний (</w:t>
      </w:r>
      <w:hyperlink r:id="rId38" w:tgtFrame="_blank" w:history="1"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Письмо ФНС РФ от 24.03.2022 № СД-4-2/3586@</w:t>
        </w:r>
      </w:hyperlink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1B4BD2" w:rsidRPr="001B4BD2" w:rsidRDefault="001B4BD2" w:rsidP="001B4BD2">
      <w:pPr>
        <w:numPr>
          <w:ilvl w:val="0"/>
          <w:numId w:val="7"/>
        </w:numPr>
        <w:spacing w:before="100" w:beforeAutospacing="1" w:after="133" w:line="348" w:lineRule="atLeast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Освобождение аккредитованных IT-компаний на срок до трех лет от налогового, валютного контроля, других видов государственного контроля (надзора) и муниципального контроля.</w:t>
      </w:r>
    </w:p>
    <w:p w:rsidR="001B4BD2" w:rsidRPr="001B4BD2" w:rsidRDefault="001B4BD2" w:rsidP="001B4BD2">
      <w:pPr>
        <w:numPr>
          <w:ilvl w:val="0"/>
          <w:numId w:val="7"/>
        </w:numPr>
        <w:spacing w:before="100" w:beforeAutospacing="1" w:after="133" w:line="348" w:lineRule="atLeast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Упрощение процедуры трудоустройства иностранцев, привлекаемых для работы.</w:t>
      </w:r>
    </w:p>
    <w:p w:rsidR="001B4BD2" w:rsidRPr="001B4BD2" w:rsidRDefault="001B4BD2" w:rsidP="001B4BD2">
      <w:pPr>
        <w:numPr>
          <w:ilvl w:val="0"/>
          <w:numId w:val="7"/>
        </w:numPr>
        <w:spacing w:before="100" w:beforeAutospacing="1" w:after="133" w:line="348" w:lineRule="atLeast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Предоставление возможности оформления льготной ипотеки сотрудникам IT-компаний.</w:t>
      </w:r>
    </w:p>
    <w:p w:rsidR="001B4BD2" w:rsidRPr="001B4BD2" w:rsidRDefault="001B4BD2" w:rsidP="001B4BD2">
      <w:pPr>
        <w:numPr>
          <w:ilvl w:val="0"/>
          <w:numId w:val="7"/>
        </w:numPr>
        <w:spacing w:before="100" w:beforeAutospacing="1" w:after="0" w:line="348" w:lineRule="atLeast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Отсрочка от службы в армии для специалистов IT-компаний (</w:t>
      </w:r>
      <w:hyperlink r:id="rId39" w:tgtFrame="_blank" w:history="1"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Постановление Правительства РФ от 28.03.2022 № 490</w:t>
        </w:r>
      </w:hyperlink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1B4BD2" w:rsidRPr="001B4BD2" w:rsidRDefault="001B4BD2" w:rsidP="001B4BD2">
      <w:pPr>
        <w:spacing w:before="720" w:after="360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1B4BD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Компенсация расходов на покупку </w:t>
      </w:r>
      <w:proofErr w:type="gramStart"/>
      <w:r w:rsidRPr="001B4BD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российского</w:t>
      </w:r>
      <w:proofErr w:type="gramEnd"/>
      <w:r w:rsidRPr="001B4BD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ПО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 рамках нового механизма поддержки малого и среднего бизнеса у предпринимателей появилась возможность приобрести </w:t>
      </w:r>
      <w:proofErr w:type="gramStart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российское</w:t>
      </w:r>
      <w:proofErr w:type="gramEnd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 на 50% дешевле. Но для этого нужно соответствовать требованиям по среднесписочной численности работников и доходам.</w:t>
      </w:r>
    </w:p>
    <w:p w:rsidR="001B4BD2" w:rsidRPr="001B4BD2" w:rsidRDefault="001B4BD2" w:rsidP="001B4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BD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alt="" style="width:48pt;height:48pt"/>
        </w:pict>
      </w:r>
    </w:p>
    <w:p w:rsidR="001B4BD2" w:rsidRPr="001B4BD2" w:rsidRDefault="001B4BD2" w:rsidP="001B4BD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40" w:history="1"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Требования к бизнесу, претендующему на компенсацию затрат </w:t>
        </w:r>
        <w:proofErr w:type="gramStart"/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на</w:t>
        </w:r>
        <w:proofErr w:type="gramEnd"/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 ПО</w:t>
        </w:r>
      </w:hyperlink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 </w:t>
      </w:r>
      <w:proofErr w:type="spellStart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Минцифры</w:t>
      </w:r>
      <w:proofErr w:type="spellEnd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отметили, что на реализацию этой меры поддержки до конца 2024 года выделено 7 </w:t>
      </w:r>
      <w:proofErr w:type="spellStart"/>
      <w:proofErr w:type="gramStart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млрд</w:t>
      </w:r>
      <w:proofErr w:type="spellEnd"/>
      <w:proofErr w:type="gramEnd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</w:t>
      </w:r>
    </w:p>
    <w:p w:rsidR="001B4BD2" w:rsidRPr="001B4BD2" w:rsidRDefault="001B4BD2" w:rsidP="001B4BD2">
      <w:pPr>
        <w:spacing w:before="720" w:after="360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1B4BD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«Зонтичный» механизм для получения заёмного финансирования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«Зонтичный» механизм предоставления поручительств позволит бизнесу получать кредиты и снижать конечные процентные ставки по ним. Поручительство будет обеспечивать до 50% от суммы кредита, а предприниматель сможет получить его в «одном окне» банка.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Оплата комиссии за поручительство возложена не на предпринимателя, а на банк. Заёмщики со средним риском смогут увеличить объем привлеченных средств за счет поручительств и высвободить залоги, с низким риском — получить кредитные средства в среднем ниже на 1–2%.</w:t>
      </w:r>
    </w:p>
    <w:p w:rsidR="001B4BD2" w:rsidRPr="001B4BD2" w:rsidRDefault="001B4BD2" w:rsidP="001B4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BD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7" type="#_x0000_t75" alt="" style="width:48pt;height:48pt"/>
        </w:pict>
      </w:r>
    </w:p>
    <w:p w:rsidR="001B4BD2" w:rsidRPr="001B4BD2" w:rsidRDefault="001B4BD2" w:rsidP="001B4BD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41" w:history="1"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Финансовый инструмент для малого бизнеса: кредиты через «зонтичный» механизм</w:t>
        </w:r>
      </w:hyperlink>
    </w:p>
    <w:p w:rsidR="001B4BD2" w:rsidRPr="001B4BD2" w:rsidRDefault="001B4BD2" w:rsidP="001B4BD2">
      <w:pPr>
        <w:spacing w:before="720" w:after="360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1B4BD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Субсидирование МСП при размещении бумаг на бирже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Программа будет действовать до 2024 года и, как и прежде, доступ к ней получат те бизнесы, сведения о которых содержатся в </w:t>
      </w:r>
      <w:hyperlink r:id="rId42" w:history="1"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Едином реестре субъектов МСП</w:t>
        </w:r>
      </w:hyperlink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 (</w:t>
      </w:r>
      <w:hyperlink r:id="rId43" w:tgtFrame="_blank" w:history="1"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Постановление Правительства РФ от 30.12.2020 № 2374</w:t>
        </w:r>
      </w:hyperlink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). Она предполагает частичную компенсацию затрат на выпуск акций и облигаций (до 1,5 </w:t>
      </w:r>
      <w:proofErr w:type="spellStart"/>
      <w:proofErr w:type="gramStart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млн</w:t>
      </w:r>
      <w:proofErr w:type="spellEnd"/>
      <w:proofErr w:type="gramEnd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руб.) и выплаты по купонам (до 70%).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Отбор эмитентов для участия в программе субсидирования осуществляется два раза в год — до 1 июля и до 1 октября календарного года.</w:t>
      </w:r>
    </w:p>
    <w:p w:rsidR="001B4BD2" w:rsidRPr="001B4BD2" w:rsidRDefault="001B4BD2" w:rsidP="001B4BD2">
      <w:pPr>
        <w:spacing w:before="720" w:after="360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1B4BD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Субсидии на возмещение процентов по кредиту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Бизнес может рассчитывать на компенсацию затрат на уплату процентов по кредитам, полученным в кредитных организациях на поддержку и развитие деятельности, в том числе на обновление основных средств (за исключением кредитов, полученных для приобретения легковых транспортных средств).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Условия получения субсидии нужно уточнять в регионах.</w:t>
      </w:r>
    </w:p>
    <w:p w:rsidR="001B4BD2" w:rsidRPr="001B4BD2" w:rsidRDefault="001B4BD2" w:rsidP="001B4BD2">
      <w:pPr>
        <w:spacing w:before="1440" w:after="480" w:line="240" w:lineRule="auto"/>
        <w:outlineLvl w:val="1"/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</w:pPr>
      <w:r w:rsidRPr="001B4BD2"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  <w:t xml:space="preserve">Поддержка малого </w:t>
      </w:r>
      <w:proofErr w:type="spellStart"/>
      <w:r w:rsidRPr="001B4BD2"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  <w:t>агробизнеса</w:t>
      </w:r>
      <w:proofErr w:type="spellEnd"/>
      <w:r w:rsidRPr="001B4BD2"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  <w:t xml:space="preserve"> в 2024 году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Субсидии для животноводов.</w:t>
      </w: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 С 1 января 2023 года животноводы могут рассчитывать на возмещение части затрат на выращивание крупного рогатого скота и последующее производство продукции (</w:t>
      </w:r>
      <w:hyperlink r:id="rId44" w:tgtFrame="_blank" w:history="1"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Постановление Правительства РФ от 01.12.2022 № 2201</w:t>
        </w:r>
      </w:hyperlink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 некоторых категорий аграриев условия поддержки будут смягчены: для фермерских хозяйств, занимающихся развитием семейных ферм, а также для сельскохозяйственных кооперативов, использующих гранты на укрепление материально-технической базы. По условиям предоставления поддержки они должны брать одного работника на каждые 10 </w:t>
      </w:r>
      <w:proofErr w:type="spellStart"/>
      <w:proofErr w:type="gramStart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млн</w:t>
      </w:r>
      <w:proofErr w:type="spellEnd"/>
      <w:proofErr w:type="gramEnd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Грант «</w:t>
      </w:r>
      <w:proofErr w:type="spellStart"/>
      <w:r w:rsidRPr="001B4BD2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Агротуризм</w:t>
      </w:r>
      <w:proofErr w:type="spellEnd"/>
      <w:r w:rsidRPr="001B4BD2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». </w:t>
      </w:r>
      <w:hyperlink r:id="rId45" w:tgtFrame="_blank" w:history="1"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Постановление Правительства РФ от 16.12.2021 № 2309</w:t>
        </w:r>
      </w:hyperlink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 ввело грант на проекты, связанные с сельским туризмом. С 1 января 2022 года малый аграрный бизнес может претендовать на сумму до 10 </w:t>
      </w:r>
      <w:proofErr w:type="spellStart"/>
      <w:proofErr w:type="gramStart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млн</w:t>
      </w:r>
      <w:proofErr w:type="spellEnd"/>
      <w:proofErr w:type="gramEnd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руб., если, например, занимается строительством или ремонтом помещений для приема туристов, создает развлекательную инфраструктуру, закупает туристическое оборудование и т.д. Грант не дадут владельцам личных подсобных хозяйств.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Перечень целевых направлений расходования гранта «</w:t>
      </w:r>
      <w:proofErr w:type="spellStart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Агротуризм</w:t>
      </w:r>
      <w:proofErr w:type="spellEnd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» утвержден </w:t>
      </w:r>
      <w:hyperlink r:id="rId46" w:tgtFrame="_blank" w:history="1"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Приказом Министерства сельского хозяйства РФ от 02.03.2022 № 116</w:t>
        </w:r>
      </w:hyperlink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В </w:t>
      </w:r>
      <w:hyperlink r:id="rId47" w:tgtFrame="_blank" w:history="1"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Приказе Министерства сельского хозяйства РФ от 10.02.2022 № 68</w:t>
        </w:r>
      </w:hyperlink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 установлены требования к заявителям и необходимые документы, формы документов, критерии отбора проектов.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В апреле 2024 года Минсельхоз планирует объявить отбор проектов на 2025 год.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b/>
          <w:bCs/>
          <w:sz w:val="27"/>
          <w:lang w:eastAsia="ru-RU"/>
        </w:rPr>
        <w:lastRenderedPageBreak/>
        <w:t>Грант «</w:t>
      </w:r>
      <w:proofErr w:type="spellStart"/>
      <w:r w:rsidRPr="001B4BD2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Агропрогресс</w:t>
      </w:r>
      <w:proofErr w:type="spellEnd"/>
      <w:r w:rsidRPr="001B4BD2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».</w:t>
      </w: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 В 2021 году поддержка расширилась за счет нового гранта «</w:t>
      </w:r>
      <w:proofErr w:type="spellStart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Агропрогресс</w:t>
      </w:r>
      <w:proofErr w:type="spellEnd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» (</w:t>
      </w:r>
      <w:hyperlink r:id="rId48" w:tgtFrame="_blank" w:history="1"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Постановление Правительства РФ от 26.11.2020 № 1932</w:t>
        </w:r>
      </w:hyperlink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). На него могут претендовать сельскохозяйственные товаропроизводители, официально работающие не менее двух лет на сельской территории.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Сумма господдержки — не более 30 </w:t>
      </w:r>
      <w:proofErr w:type="spellStart"/>
      <w:proofErr w:type="gramStart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млн</w:t>
      </w:r>
      <w:proofErr w:type="spellEnd"/>
      <w:proofErr w:type="gramEnd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Средства могут направляться на развитие базы по производству, хранению, переработке и реализации продукции, покупку, строительство новых объектов для производства и др.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«</w:t>
      </w:r>
      <w:proofErr w:type="spellStart"/>
      <w:r w:rsidRPr="001B4BD2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Агростартап</w:t>
      </w:r>
      <w:proofErr w:type="spellEnd"/>
      <w:r w:rsidRPr="001B4BD2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».</w:t>
      </w: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Начинающим аграриям (КФХ, ИП) подойдет грант на приобретение оборудования для переработки сельхозпродукции или на выращивание самой сельхозпродукции. Суммы: 3-5 </w:t>
      </w:r>
      <w:proofErr w:type="spellStart"/>
      <w:proofErr w:type="gramStart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млн</w:t>
      </w:r>
      <w:proofErr w:type="spellEnd"/>
      <w:proofErr w:type="gramEnd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Проект «Развитие овощеводства и картофелеводства». </w:t>
      </w: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В 2024 году аграрии могут воспользоваться новым проектом «Развитие овощеводства и картофелеводства» (</w:t>
      </w:r>
      <w:hyperlink r:id="rId49" w:tgtFrame="_blank" w:history="1"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Постановление Правительства РФ от 24.11.2023 № 1984</w:t>
        </w:r>
      </w:hyperlink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). Деньги можно потратить на проведение </w:t>
      </w:r>
      <w:proofErr w:type="spellStart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агротехнологических</w:t>
      </w:r>
      <w:proofErr w:type="spellEnd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работ и производство картофеля и овощей в открытом грунте и теплицах с использованием технологии </w:t>
      </w:r>
      <w:proofErr w:type="spellStart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досвечивания</w:t>
      </w:r>
      <w:proofErr w:type="spellEnd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Крым, Севастополь и дальневосточные регионы </w:t>
      </w:r>
      <w:proofErr w:type="gramStart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могут</w:t>
      </w:r>
      <w:proofErr w:type="gramEnd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рассчитывают на более высокий коэффициент при расчете и распределении финансирования. Проект федерального бюджета на 2024 год на поддержку производителей картофеля и овощей предусматривает 4,5 </w:t>
      </w:r>
      <w:proofErr w:type="spellStart"/>
      <w:proofErr w:type="gramStart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млрд</w:t>
      </w:r>
      <w:proofErr w:type="spellEnd"/>
      <w:proofErr w:type="gramEnd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</w:t>
      </w:r>
    </w:p>
    <w:p w:rsidR="001B4BD2" w:rsidRPr="001B4BD2" w:rsidRDefault="001B4BD2" w:rsidP="001B4BD2">
      <w:pPr>
        <w:spacing w:before="1440" w:after="480" w:line="240" w:lineRule="auto"/>
        <w:outlineLvl w:val="1"/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</w:pPr>
      <w:r w:rsidRPr="001B4BD2"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  <w:t>Федеральные программы поддержки бизнеса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Такой вид поддержки бизнеса можно разделить на несколько программ от различных ведомств и организаций</w:t>
      </w:r>
    </w:p>
    <w:p w:rsidR="001B4BD2" w:rsidRPr="001B4BD2" w:rsidRDefault="001B4BD2" w:rsidP="001B4BD2">
      <w:pPr>
        <w:spacing w:before="720" w:after="360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1B4BD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Минэкономразвития России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 интересы распространяются на реализацию </w:t>
      </w:r>
      <w:hyperlink r:id="rId50" w:tgtFrame="_blank" w:history="1"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программы по предоставлению субсидий</w:t>
        </w:r>
      </w:hyperlink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 из федерального бюджета для оказания господдержки субъектам МСП.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Средства распределяются на конкурсной основе между регионами и выделяются на мероприятия, предусмотренные региональными программами, но при условии, что расходы </w:t>
      </w:r>
      <w:proofErr w:type="spellStart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софинансируются</w:t>
      </w:r>
      <w:proofErr w:type="spellEnd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регионами.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Программа Минэкономразвития предполагает прямые и непрямые меры поддержки, на которые могут рассчитывать те, кто занимается производством товаров, разрабатывает и внедряет инновационную продукцию, специализируется на народно-художественных промыслах, осуществляет ремесленную деятельность, продвигает сельский и </w:t>
      </w:r>
      <w:proofErr w:type="spellStart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экотуризм</w:t>
      </w:r>
      <w:proofErr w:type="spellEnd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, развивает социальное предпринимательство.</w:t>
      </w:r>
    </w:p>
    <w:p w:rsidR="001B4BD2" w:rsidRPr="001B4BD2" w:rsidRDefault="001B4BD2" w:rsidP="001B4BD2">
      <w:pPr>
        <w:spacing w:before="720" w:after="360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1B4BD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Гранты на инновационные производства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Российская компания, планирующая запуск или расширение инновационного производства, может претендовать на грант в размере до 30 </w:t>
      </w:r>
      <w:proofErr w:type="spellStart"/>
      <w:proofErr w:type="gramStart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млн</w:t>
      </w:r>
      <w:proofErr w:type="spellEnd"/>
      <w:proofErr w:type="gramEnd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рублей. Минэкономразвития приступило к приему заявок от малого бизнеса.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К бизнесу есть требования:</w:t>
      </w:r>
    </w:p>
    <w:p w:rsidR="001B4BD2" w:rsidRPr="001B4BD2" w:rsidRDefault="001B4BD2" w:rsidP="001B4BD2">
      <w:pPr>
        <w:numPr>
          <w:ilvl w:val="0"/>
          <w:numId w:val="8"/>
        </w:numPr>
        <w:spacing w:before="100" w:beforeAutospacing="1" w:after="133" w:line="348" w:lineRule="atLeast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Компания должна быть включена в Единый реестр СМП как микро- или малое предприятие.</w:t>
      </w:r>
    </w:p>
    <w:p w:rsidR="001B4BD2" w:rsidRPr="001B4BD2" w:rsidRDefault="001B4BD2" w:rsidP="001B4BD2">
      <w:pPr>
        <w:numPr>
          <w:ilvl w:val="0"/>
          <w:numId w:val="8"/>
        </w:numPr>
        <w:spacing w:before="100" w:beforeAutospacing="1" w:after="0" w:line="348" w:lineRule="atLeast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Руководитель компании не должен иметь открытых договоров с Фондом содействия инновациям.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Грант можно получить только при условии </w:t>
      </w:r>
      <w:proofErr w:type="spellStart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софинансирования</w:t>
      </w:r>
      <w:proofErr w:type="spellEnd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затрат за счет собственных или привлеченных сре</w:t>
      </w:r>
      <w:proofErr w:type="gramStart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дств в р</w:t>
      </w:r>
      <w:proofErr w:type="gramEnd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азмере не менее 50% суммы гранта.</w:t>
      </w:r>
    </w:p>
    <w:p w:rsidR="001B4BD2" w:rsidRPr="001B4BD2" w:rsidRDefault="001B4BD2" w:rsidP="001B4BD2">
      <w:pPr>
        <w:spacing w:before="720" w:after="360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1B4BD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Корпорации МСП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Эта организация занимается </w:t>
      </w:r>
      <w:hyperlink r:id="rId51" w:tgtFrame="_blank" w:history="1"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решением различного спектра задач</w:t>
        </w:r>
      </w:hyperlink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 числе которых оказывает финансовую, имущественную, юридическую, инфраструктурную, методологическую поддержку; организовывает различные виды сопровождения </w:t>
      </w:r>
      <w:proofErr w:type="spellStart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инвестпроектов</w:t>
      </w:r>
      <w:proofErr w:type="spellEnd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 др. 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52" w:tgtFrame="_blank" w:history="1"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На сайте корпорации</w:t>
        </w:r>
      </w:hyperlink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 можно узнать обо всех льготах, субсидиях и грантах, которые положены вашей компании.</w:t>
      </w:r>
    </w:p>
    <w:p w:rsidR="001B4BD2" w:rsidRPr="001B4BD2" w:rsidRDefault="001B4BD2" w:rsidP="001B4BD2">
      <w:pPr>
        <w:spacing w:before="720" w:after="360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1B4BD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АО «МСП Банк»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Занимается </w:t>
      </w:r>
      <w:hyperlink r:id="rId53" w:tgtFrame="_blank" w:history="1"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госпрограммой финансовой поддержки предпринимательства</w:t>
        </w:r>
      </w:hyperlink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предоставляя МСП прямые гарантии для получения банковских кредитов и помогая воспользоваться кредитными ресурсами при недостаточности залогового обеспечения.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выступает в роли гаранта исполнения субъектами МСП своих кредитных обязательств, разделяя с банками риски, которые могут возникать в результате ухудшения финансового состояния заемщика. Гарантийные продукты доступны субъектам МСП, желающим получить кредиты в банках-партнерах МСП Банка.</w:t>
      </w:r>
    </w:p>
    <w:p w:rsidR="001B4BD2" w:rsidRPr="001B4BD2" w:rsidRDefault="001B4BD2" w:rsidP="001B4BD2">
      <w:pPr>
        <w:spacing w:before="720" w:after="360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1B4BD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Фонд содействия инновациям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Эта организация </w:t>
      </w:r>
      <w:hyperlink r:id="rId54" w:tgtFrame="_blank" w:history="1"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отвечает за развитие и поддержку малых предприятий</w:t>
        </w:r>
      </w:hyperlink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в научно-технической сфере и непосредственно оказывает финансовую помощь целевым проектам. Особенно известна программа «Умник», ориентированная на поддержку талантливых молодых </w:t>
      </w:r>
      <w:proofErr w:type="spellStart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инноваторов</w:t>
      </w:r>
      <w:proofErr w:type="spellEnd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. Но также есть программа для </w:t>
      </w:r>
      <w:proofErr w:type="spellStart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стартапов</w:t>
      </w:r>
      <w:proofErr w:type="spellEnd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«Старт», разные предложения по поддержке предприятий «Развитие», «Интернационализация», «Коммерциализация».</w:t>
      </w:r>
    </w:p>
    <w:p w:rsidR="001B4BD2" w:rsidRPr="001B4BD2" w:rsidRDefault="001B4BD2" w:rsidP="001B4BD2">
      <w:pPr>
        <w:spacing w:before="720" w:after="360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1B4BD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Минсельхоз России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 агропромышленного комплекса предусмотрены </w:t>
      </w:r>
      <w:hyperlink r:id="rId55" w:tgtFrame="_blank" w:history="1"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различные меры господдержки</w:t>
        </w:r>
      </w:hyperlink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 в 2024 году. Товаропроизводители, организации и ИП, осуществляющие производство, переработку и реализацию соответствующей продукции, могут обратиться в уполномоченный Минсельхозом банк за краткосрочным или инвестиционным кредитом по ставке не более 5%.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Также предусмотрены субсидии производителям сельскохозяйственной техники, субсидия на повышение продуктивности в молочном скотоводстве и др.</w:t>
      </w:r>
    </w:p>
    <w:p w:rsidR="001B4BD2" w:rsidRPr="001B4BD2" w:rsidRDefault="001B4BD2" w:rsidP="001B4BD2">
      <w:pPr>
        <w:spacing w:before="1440" w:after="480" w:line="240" w:lineRule="auto"/>
        <w:outlineLvl w:val="1"/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</w:pPr>
      <w:r w:rsidRPr="001B4BD2"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  <w:t>Региональные программы поддержки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Детали и условия программ поддержки, на основании которых можно претендовать на помощь государства в развитии бизнеса, можно узнать на региональных порталах малого и среднего предпринимательства. В поисковиках можно вбивать запрос таким образом: «региональный портал малого и среднего предпринимательства &lt;город&gt;».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Например, вводим запрос «региональный портал малого и среднего предпринимательства Саратов» и выходим на </w:t>
      </w:r>
      <w:hyperlink r:id="rId56" w:tgtFrame="_blank" w:history="1"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сайт</w:t>
        </w:r>
      </w:hyperlink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который дает подробную информацию и по видам, и по формам, и по инфраструктуре поддержки.</w:t>
      </w:r>
    </w:p>
    <w:p w:rsidR="001B4BD2" w:rsidRPr="001B4BD2" w:rsidRDefault="001B4BD2" w:rsidP="001B4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D2" w:rsidRPr="001B4BD2" w:rsidRDefault="001B4BD2" w:rsidP="001B4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57" w:tgtFrame="_blank" w:history="1">
        <w:r w:rsidRPr="001B4BD2">
          <w:rPr>
            <w:rFonts w:ascii="Times New Roman" w:eastAsia="Times New Roman" w:hAnsi="Times New Roman" w:cs="Times New Roman"/>
            <w:i/>
            <w:iCs/>
            <w:color w:val="0000FF"/>
            <w:sz w:val="27"/>
            <w:lang w:eastAsia="ru-RU"/>
          </w:rPr>
          <w:t>Центры инфраструктуры МСП в регионах</w:t>
        </w:r>
      </w:hyperlink>
      <w:r w:rsidRPr="001B4BD2">
        <w:rPr>
          <w:rFonts w:ascii="Times New Roman" w:eastAsia="Times New Roman" w:hAnsi="Times New Roman" w:cs="Times New Roman"/>
          <w:i/>
          <w:iCs/>
          <w:sz w:val="27"/>
          <w:lang w:eastAsia="ru-RU"/>
        </w:rPr>
        <w:t> на сайте «Мой бизнес»</w:t>
      </w:r>
    </w:p>
    <w:p w:rsidR="001B4BD2" w:rsidRPr="001B4BD2" w:rsidRDefault="001B4BD2" w:rsidP="001B4BD2">
      <w:pPr>
        <w:spacing w:before="1440" w:after="480" w:line="240" w:lineRule="auto"/>
        <w:outlineLvl w:val="1"/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</w:pPr>
      <w:r w:rsidRPr="001B4BD2"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  <w:t xml:space="preserve">Поддержка </w:t>
      </w:r>
      <w:proofErr w:type="spellStart"/>
      <w:r w:rsidRPr="001B4BD2"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  <w:t>самозанятых</w:t>
      </w:r>
      <w:proofErr w:type="spellEnd"/>
      <w:r w:rsidRPr="001B4BD2"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  <w:t xml:space="preserve"> в 2024 году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58" w:tgtFrame="_blank" w:history="1"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Постановление Правительства РФ от 29.09.2020 № 1563</w:t>
        </w:r>
      </w:hyperlink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 распространило на </w:t>
      </w:r>
      <w:proofErr w:type="spellStart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самозанятых</w:t>
      </w:r>
      <w:proofErr w:type="spellEnd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меры поддержки, которые ранее были предусмотрены для МСП.</w:t>
      </w:r>
    </w:p>
    <w:p w:rsidR="001B4BD2" w:rsidRPr="001B4BD2" w:rsidRDefault="001B4BD2" w:rsidP="001B4BD2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Теперь они смогут воспользоваться </w:t>
      </w:r>
      <w:hyperlink r:id="rId59" w:tgtFrame="_blank" w:history="1"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полным набором услуг, сервисов и финансовых инструментов</w:t>
        </w:r>
      </w:hyperlink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 в центрах «Мой бизнес».</w:t>
      </w:r>
    </w:p>
    <w:p w:rsidR="001B4BD2" w:rsidRPr="001B4BD2" w:rsidRDefault="001B4BD2" w:rsidP="001B4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BD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8" type="#_x0000_t75" alt="" style="width:48pt;height:48pt"/>
        </w:pict>
      </w:r>
    </w:p>
    <w:p w:rsidR="001B4BD2" w:rsidRPr="001B4BD2" w:rsidRDefault="001B4BD2" w:rsidP="001B4BD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60" w:tgtFrame="_blank" w:history="1"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На что рассчитывать </w:t>
        </w:r>
        <w:proofErr w:type="spellStart"/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самозанятым</w:t>
        </w:r>
        <w:proofErr w:type="spellEnd"/>
        <w:r w:rsidRPr="001B4BD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в 2024 году</w:t>
        </w:r>
      </w:hyperlink>
    </w:p>
    <w:p w:rsidR="001B4BD2" w:rsidRPr="001B4BD2" w:rsidRDefault="001B4BD2" w:rsidP="001B4BD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Также они вправе претендовать на аренду </w:t>
      </w:r>
      <w:proofErr w:type="spellStart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коворкингов</w:t>
      </w:r>
      <w:proofErr w:type="spellEnd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 </w:t>
      </w:r>
      <w:proofErr w:type="spellStart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бизнес-инкубаторов</w:t>
      </w:r>
      <w:proofErr w:type="spellEnd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 льготным ставкам, займы в размере до 1 </w:t>
      </w:r>
      <w:proofErr w:type="spellStart"/>
      <w:proofErr w:type="gramStart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>млн</w:t>
      </w:r>
      <w:proofErr w:type="spellEnd"/>
      <w:proofErr w:type="gramEnd"/>
      <w:r w:rsidRPr="001B4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от государственных МФО.</w:t>
      </w:r>
    </w:p>
    <w:p w:rsidR="001B4BD2" w:rsidRPr="001B4BD2" w:rsidRDefault="001B4BD2" w:rsidP="001B4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D52" w:rsidRDefault="00EA4D52"/>
    <w:sectPr w:rsidR="00EA4D52" w:rsidSect="00EA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2B90"/>
    <w:multiLevelType w:val="multilevel"/>
    <w:tmpl w:val="C0D2C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E3658"/>
    <w:multiLevelType w:val="multilevel"/>
    <w:tmpl w:val="3068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7539F3"/>
    <w:multiLevelType w:val="multilevel"/>
    <w:tmpl w:val="9A46E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AD1F3A"/>
    <w:multiLevelType w:val="multilevel"/>
    <w:tmpl w:val="5596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E90E16"/>
    <w:multiLevelType w:val="multilevel"/>
    <w:tmpl w:val="2D14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E2365C"/>
    <w:multiLevelType w:val="multilevel"/>
    <w:tmpl w:val="276E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6107ED"/>
    <w:multiLevelType w:val="multilevel"/>
    <w:tmpl w:val="77C8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F4DC8"/>
    <w:multiLevelType w:val="multilevel"/>
    <w:tmpl w:val="5972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BD2"/>
    <w:rsid w:val="001B4BD2"/>
    <w:rsid w:val="0063077F"/>
    <w:rsid w:val="00EA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52"/>
  </w:style>
  <w:style w:type="paragraph" w:styleId="1">
    <w:name w:val="heading 1"/>
    <w:basedOn w:val="a"/>
    <w:link w:val="10"/>
    <w:uiPriority w:val="9"/>
    <w:qFormat/>
    <w:rsid w:val="001B4B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B4B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B4B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B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4B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4B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B4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blication-comments-link">
    <w:name w:val="publication-comments-link"/>
    <w:basedOn w:val="a0"/>
    <w:rsid w:val="001B4BD2"/>
  </w:style>
  <w:style w:type="character" w:customStyle="1" w:styleId="publication-comments-linkcomments-count">
    <w:name w:val="publication-comments-link__comments-count"/>
    <w:basedOn w:val="a0"/>
    <w:rsid w:val="001B4BD2"/>
  </w:style>
  <w:style w:type="character" w:styleId="a4">
    <w:name w:val="Hyperlink"/>
    <w:basedOn w:val="a0"/>
    <w:uiPriority w:val="99"/>
    <w:semiHidden/>
    <w:unhideWhenUsed/>
    <w:rsid w:val="001B4BD2"/>
    <w:rPr>
      <w:color w:val="0000FF"/>
      <w:u w:val="single"/>
    </w:rPr>
  </w:style>
  <w:style w:type="paragraph" w:customStyle="1" w:styleId="lead">
    <w:name w:val="lead"/>
    <w:basedOn w:val="a"/>
    <w:rsid w:val="001B4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blocklink-wrap">
    <w:name w:val="text-block__link-wrap"/>
    <w:basedOn w:val="a"/>
    <w:rsid w:val="001B4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4BD2"/>
    <w:rPr>
      <w:b/>
      <w:bCs/>
    </w:rPr>
  </w:style>
  <w:style w:type="character" w:styleId="a6">
    <w:name w:val="Emphasis"/>
    <w:basedOn w:val="a0"/>
    <w:uiPriority w:val="20"/>
    <w:qFormat/>
    <w:rsid w:val="001B4BD2"/>
    <w:rPr>
      <w:i/>
      <w:iCs/>
    </w:rPr>
  </w:style>
  <w:style w:type="character" w:customStyle="1" w:styleId="sa5-authorname">
    <w:name w:val="sa5-author__name"/>
    <w:basedOn w:val="a0"/>
    <w:rsid w:val="001B4BD2"/>
  </w:style>
  <w:style w:type="character" w:customStyle="1" w:styleId="sa5-authorpost">
    <w:name w:val="sa5-author__post"/>
    <w:basedOn w:val="a0"/>
    <w:rsid w:val="001B4BD2"/>
  </w:style>
  <w:style w:type="paragraph" w:styleId="a7">
    <w:name w:val="Balloon Text"/>
    <w:basedOn w:val="a"/>
    <w:link w:val="a8"/>
    <w:uiPriority w:val="99"/>
    <w:semiHidden/>
    <w:unhideWhenUsed/>
    <w:rsid w:val="001B4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B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0658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06054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5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1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5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84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6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063660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13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97808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53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22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95475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26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273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87936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3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3500400">
                      <w:marLeft w:val="1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2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0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17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7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3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3951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44075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1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ontur.ru/articles/4710" TargetMode="External"/><Relationship Id="rId18" Type="http://schemas.openxmlformats.org/officeDocument/2006/relationships/hyperlink" Target="https://kontur.ru/lp/reg-business?utm_source=google&amp;utm_medium=organic&amp;utm_from=adv-link-enquiry-journal-25703-4573" TargetMode="External"/><Relationship Id="rId26" Type="http://schemas.openxmlformats.org/officeDocument/2006/relationships/hyperlink" Target="https://xn--90aifddrld7a.xn--p1ai/centers" TargetMode="External"/><Relationship Id="rId39" Type="http://schemas.openxmlformats.org/officeDocument/2006/relationships/hyperlink" Target="https://normativ.kontur.ru/document?utm_from=adv-link-enquiry-diskont-48565-6244&amp;moduleId=1&amp;documentId=418838&amp;p=0957&amp;utm_ad=170678539086&amp;utm_source=google&amp;utm_medium=organic&amp;utm_campaign=kjournal_news_01.02.2024&amp;utm_startpage=kontur.ru%2Farticles%2F4710&amp;utm_orderpage=kontur.ru%2Farticles%2F4710&amp;utm_referer=www.google.com" TargetMode="External"/><Relationship Id="rId21" Type="http://schemas.openxmlformats.org/officeDocument/2006/relationships/hyperlink" Target="https://normativ.kontur.ru/document?moduleId=1100&amp;documentId=32061&amp;p=1210&amp;utm_source=google&amp;utm_medium=organic&amp;utm_referer=www.google.com&amp;utm_startpage=kontur.ru%2Farticles%2F4710&amp;utm_orderpage=kontur.ru%2Farticles%2F4710" TargetMode="External"/><Relationship Id="rId34" Type="http://schemas.openxmlformats.org/officeDocument/2006/relationships/hyperlink" Target="https://gisp.gov.ru/nmp/measure/12447820" TargetMode="External"/><Relationship Id="rId42" Type="http://schemas.openxmlformats.org/officeDocument/2006/relationships/hyperlink" Target="https://kontur.ru/articles/4480" TargetMode="External"/><Relationship Id="rId47" Type="http://schemas.openxmlformats.org/officeDocument/2006/relationships/hyperlink" Target="https://normativ.kontur.ru/document?moduleId=1100&amp;documentId=30360&amp;p=1210&amp;utm_source=google&amp;utm_medium=organic&amp;utm_referer=www.google.com&amp;utm_startpage=kontur.ru%2Farticles%2F4710&amp;utm_orderpage=kontur.ru%2Farticles%2F4710" TargetMode="External"/><Relationship Id="rId50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55" Type="http://schemas.openxmlformats.org/officeDocument/2006/relationships/hyperlink" Target="http://mcx.ru/activity/state-support/measures" TargetMode="External"/><Relationship Id="rId7" Type="http://schemas.openxmlformats.org/officeDocument/2006/relationships/hyperlink" Target="https://kontur.ru/articles/47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br.ru/faq/client/" TargetMode="External"/><Relationship Id="rId20" Type="http://schemas.openxmlformats.org/officeDocument/2006/relationships/hyperlink" Target="https://normativ.kontur.ru/document?utm_from=adv-link-enquiry-diskont-48565-6244&amp;moduleId=1&amp;documentId=410886&amp;p=0957&amp;utm_content=article_37905&amp;utm_source=google&amp;utm_medium=organic&amp;utm_campaign=kjournal_news_01.02.2024&amp;utm_startpage=kontur.ru%2Farticles%2F4710&amp;utm_orderpage=kontur.ru%2Farticles%2F4710&amp;utm_ad=170678539086&amp;utm_referer=www.google.com" TargetMode="External"/><Relationship Id="rId29" Type="http://schemas.openxmlformats.org/officeDocument/2006/relationships/hyperlink" Target="https://tourism.gov.ru/deyatelnost/mery-podderzhki/" TargetMode="External"/><Relationship Id="rId41" Type="http://schemas.openxmlformats.org/officeDocument/2006/relationships/hyperlink" Target="https://kontur.ru/articles/701" TargetMode="External"/><Relationship Id="rId54" Type="http://schemas.openxmlformats.org/officeDocument/2006/relationships/hyperlink" Target="http://www.fasie.ru/programs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ontur.ru/articles/4710" TargetMode="External"/><Relationship Id="rId11" Type="http://schemas.openxmlformats.org/officeDocument/2006/relationships/hyperlink" Target="https://kontur.ru/articles/4710" TargetMode="External"/><Relationship Id="rId24" Type="http://schemas.openxmlformats.org/officeDocument/2006/relationships/hyperlink" Target="http://www.mspmo.ru/" TargetMode="External"/><Relationship Id="rId32" Type="http://schemas.openxmlformats.org/officeDocument/2006/relationships/hyperlink" Target="https://gisp.gov.ru/import-substitution/" TargetMode="External"/><Relationship Id="rId37" Type="http://schemas.openxmlformats.org/officeDocument/2006/relationships/hyperlink" Target="https://normativ.kontur.ru/document?moduleId=1&amp;documentId=457216&amp;p=1210&amp;utm_source=google&amp;utm_medium=organic&amp;utm_referer=www.google.com&amp;utm_startpage=kontur.ru%2Farticles%2F4710&amp;utm_orderpage=kontur.ru%2Farticles%2F4710" TargetMode="External"/><Relationship Id="rId40" Type="http://schemas.openxmlformats.org/officeDocument/2006/relationships/hyperlink" Target="https://kontur.ru/articles/929" TargetMode="External"/><Relationship Id="rId45" Type="http://schemas.openxmlformats.org/officeDocument/2006/relationships/hyperlink" Target="https://normativ.kontur.ru/document?utm_from=adv-link-enquiry-diskont-48565-6244&amp;moduleId=1100&amp;documentId=26531&amp;p=0957&amp;utm_content=article_37905&amp;utm_source=google&amp;utm_medium=organic&amp;utm_campaign=kjournal_news_01.02.2024&amp;utm_startpage=kontur.ru%2Farticles%2F4710&amp;utm_orderpage=kontur.ru%2Farticles%2F4710&amp;utm_ad=170678539086&amp;utm_referer=www.google.com" TargetMode="External"/><Relationship Id="rId53" Type="http://schemas.openxmlformats.org/officeDocument/2006/relationships/hyperlink" Target="https://mspbank.ru/who-can-receive-help" TargetMode="External"/><Relationship Id="rId58" Type="http://schemas.openxmlformats.org/officeDocument/2006/relationships/hyperlink" Target="https://normativ.kontur.ru/document?moduleId=1&amp;documentId=412798&amp;p=1210&amp;utm_source=google&amp;utm_medium=organic&amp;utm_referer=www.google.com&amp;utm_startpage=kontur.ru%2Farticles%2F4710&amp;utm_orderpage=kontur.ru%2Farticles%2F4710" TargetMode="External"/><Relationship Id="rId5" Type="http://schemas.openxmlformats.org/officeDocument/2006/relationships/hyperlink" Target="https://kontur.ru/articles/4710" TargetMode="External"/><Relationship Id="rId15" Type="http://schemas.openxmlformats.org/officeDocument/2006/relationships/hyperlink" Target="https://cbr.ru/develop/msp/" TargetMode="External"/><Relationship Id="rId23" Type="http://schemas.openxmlformats.org/officeDocument/2006/relationships/hyperlink" Target="https://mert.tatarstan.ru/gosudarstvennaya-podderzhka.htm" TargetMode="External"/><Relationship Id="rId28" Type="http://schemas.openxmlformats.org/officeDocument/2006/relationships/hyperlink" Target="https://xn--90aifddrld7a.xn--p1ai/knowledge/sayty-i-sotsseti-tsentrov-moy-biznes" TargetMode="External"/><Relationship Id="rId36" Type="http://schemas.openxmlformats.org/officeDocument/2006/relationships/hyperlink" Target="https://digital.gov.ru/ru/activity/directions/418/" TargetMode="External"/><Relationship Id="rId49" Type="http://schemas.openxmlformats.org/officeDocument/2006/relationships/hyperlink" Target="https://normativ.kontur.ru/document?moduleId=1100&amp;documentId=45737&amp;p=1210&amp;utm_source=google&amp;utm_medium=organic&amp;utm_referer=www.google.com&amp;utm_startpage=kontur.ru%2Farticles%2F4710&amp;utm_orderpage=kontur.ru%2Farticles%2F4710" TargetMode="External"/><Relationship Id="rId57" Type="http://schemas.openxmlformats.org/officeDocument/2006/relationships/hyperlink" Target="https://xn--90aifddrld7a.xn--p1ai/centers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kontur.ru/articles/4710" TargetMode="External"/><Relationship Id="rId19" Type="http://schemas.openxmlformats.org/officeDocument/2006/relationships/hyperlink" Target="https://xn--l1agf.xn--p1ai/" TargetMode="External"/><Relationship Id="rId31" Type="http://schemas.openxmlformats.org/officeDocument/2006/relationships/hyperlink" Target="https://merp.pnzreg.ru/protivodeystvie-korruptsii/!%D0%BD%D0%B0%D0%B2%D0%B8%D0%B3%D0%B0%D1%82%D0%BE%D1%80.pdf" TargetMode="External"/><Relationship Id="rId44" Type="http://schemas.openxmlformats.org/officeDocument/2006/relationships/hyperlink" Target="http://publication.pravo.gov.ru/Document/View/0001202212030004" TargetMode="External"/><Relationship Id="rId52" Type="http://schemas.openxmlformats.org/officeDocument/2006/relationships/hyperlink" Target="https://smbn.ru/service/support" TargetMode="External"/><Relationship Id="rId60" Type="http://schemas.openxmlformats.org/officeDocument/2006/relationships/hyperlink" Target="https://kontur.ru/articles/48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ntur.ru/articles/4710" TargetMode="External"/><Relationship Id="rId14" Type="http://schemas.openxmlformats.org/officeDocument/2006/relationships/hyperlink" Target="https://cbr.ru/press/event/?id=14474" TargetMode="External"/><Relationship Id="rId22" Type="http://schemas.openxmlformats.org/officeDocument/2006/relationships/hyperlink" Target="https://kontur.ru/articles/6656" TargetMode="External"/><Relationship Id="rId27" Type="http://schemas.openxmlformats.org/officeDocument/2006/relationships/hyperlink" Target="https://kontur.ru/articles/2443" TargetMode="External"/><Relationship Id="rId30" Type="http://schemas.openxmlformats.org/officeDocument/2006/relationships/hyperlink" Target="https://normativ.kontur.ru/document?utm_from=adv-link-enquiry-diskont-48565-6244&amp;moduleId=8&amp;documentId=432991&amp;p=0957&amp;utm_ad=170678539086&amp;utm_source=google&amp;utm_medium=organic&amp;utm_campaign=kjournal_news_01.02.2024&amp;utm_startpage=kontur.ru%2Farticles%2F4710&amp;utm_orderpage=kontur.ru%2Farticles%2F4710&amp;utm_referer=www.google.com" TargetMode="External"/><Relationship Id="rId35" Type="http://schemas.openxmlformats.org/officeDocument/2006/relationships/hyperlink" Target="https://gisp.gov.ru/nmp/main/?recommended=0&amp;search_terms=&amp;search_terms=&amp;search_terms=&amp;search_terms=&amp;event=&amp;search_terms=&amp;search_terms=&amp;search_terms=&amp;search_terms=&amp;search_terms=&amp;measureActive=0&amp;searchstr=%D0%B8%D0%BC%D0%BF%D0%BE%D1%80%D1%82&amp;csrftoken=17b15a65ce4717c29e75e6e56feba8dffd8447fc87aa9f2a9b08c28a52b4b6758c4a8d032d2417c5" TargetMode="External"/><Relationship Id="rId43" Type="http://schemas.openxmlformats.org/officeDocument/2006/relationships/hyperlink" Target="https://normativ.kontur.ru/document?utm_from=adv-link-enquiry-diskont-48565-6244&amp;moduleId=1&amp;documentId=380235&amp;p=0957&amp;utm_content=article_37905&amp;utm_source=google&amp;utm_medium=organic&amp;utm_campaign=kjournal_news_01.02.2024&amp;utm_startpage=kontur.ru%2Farticles%2F4710&amp;utm_orderpage=kontur.ru%2Farticles%2F4710&amp;utm_ad=170678539086&amp;utm_referer=www.google.com" TargetMode="External"/><Relationship Id="rId48" Type="http://schemas.openxmlformats.org/officeDocument/2006/relationships/hyperlink" Target="https://normativ.kontur.ru/document?utm_from=adv-link-enquiry-diskont-48565-6244&amp;moduleId=1100&amp;documentId=14893&amp;p=0957&amp;utm_content=article_37905&amp;utm_source=google&amp;utm_medium=organic&amp;utm_campaign=kjournal_news_01.02.2024&amp;utm_startpage=kontur.ru%2Farticles%2F4710&amp;utm_orderpage=kontur.ru%2Farticles%2F4710&amp;utm_ad=170678539086&amp;utm_referer=www.google.com" TargetMode="External"/><Relationship Id="rId56" Type="http://schemas.openxmlformats.org/officeDocument/2006/relationships/hyperlink" Target="https://saratov-bis.ru/msp/" TargetMode="External"/><Relationship Id="rId8" Type="http://schemas.openxmlformats.org/officeDocument/2006/relationships/hyperlink" Target="https://kontur.ru/articles/4710" TargetMode="External"/><Relationship Id="rId51" Type="http://schemas.openxmlformats.org/officeDocument/2006/relationships/hyperlink" Target="https://corpmsp.ru/org-infrastruktury-podderzhki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kontur.ru/articles/4710" TargetMode="External"/><Relationship Id="rId17" Type="http://schemas.openxmlformats.org/officeDocument/2006/relationships/hyperlink" Target="https://kontur.ru/articles/6279" TargetMode="External"/><Relationship Id="rId25" Type="http://schemas.openxmlformats.org/officeDocument/2006/relationships/hyperlink" Target="https://mbkuban.ru/financial-support/subsidies/" TargetMode="External"/><Relationship Id="rId33" Type="http://schemas.openxmlformats.org/officeDocument/2006/relationships/hyperlink" Target="https://gisp.gov.ru/nmp/measure/12447930" TargetMode="External"/><Relationship Id="rId38" Type="http://schemas.openxmlformats.org/officeDocument/2006/relationships/hyperlink" Target="https://normativ.kontur.ru/document?utm_from=adv-link-enquiry-diskont-48565-6244&amp;moduleId=8&amp;documentId=418152&amp;p=0957&amp;utm_ad=170678539086&amp;utm_source=google&amp;utm_medium=organic&amp;utm_campaign=kjournal_news_01.02.2024&amp;utm_startpage=kontur.ru%2Farticles%2F4710&amp;utm_orderpage=kontur.ru%2Farticles%2F4710&amp;utm_referer=www.google.com" TargetMode="External"/><Relationship Id="rId46" Type="http://schemas.openxmlformats.org/officeDocument/2006/relationships/hyperlink" Target="https://normativ.kontur.ru/document?moduleId=1100&amp;documentId=29454&amp;p=1210&amp;utm_source=google&amp;utm_medium=organic&amp;utm_referer=www.google.com&amp;utm_startpage=kontur.ru%2Farticles%2F4710&amp;utm_orderpage=kontur.ru%2Farticles%2F4710" TargetMode="External"/><Relationship Id="rId59" Type="http://schemas.openxmlformats.org/officeDocument/2006/relationships/hyperlink" Target="https://xn--l1agf.xn--p1ai/services/antikrizisnye-me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4080</Words>
  <Characters>23256</Characters>
  <Application>Microsoft Office Word</Application>
  <DocSecurity>0</DocSecurity>
  <Lines>193</Lines>
  <Paragraphs>54</Paragraphs>
  <ScaleCrop>false</ScaleCrop>
  <Company/>
  <LinksUpToDate>false</LinksUpToDate>
  <CharactersWithSpaces>27282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userTIL</dc:creator>
  <cp:lastModifiedBy>userTIL</cp:lastModifiedBy>
  <cp:revision>1</cp:revision>
  <dcterms:created xsi:type="dcterms:W3CDTF">2024-02-08T08:10:00Z</dcterms:created>
  <dcterms:modified xsi:type="dcterms:W3CDTF">2024-02-08T08:12:00Z</dcterms:modified>
</cp:coreProperties>
</file>